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RONPA0280ZPB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bookmarkStart w:colFirst="0" w:colLast="0" w:name="_heading=h.7meiq3obcsy6" w:id="0"/>
      <w:bookmarkEnd w:id="0"/>
      <w:r w:rsidDel="00000000" w:rsidR="00000000" w:rsidRPr="00000000">
        <w:rPr>
          <w:i w:val="1"/>
          <w:iCs w:val="1"/>
          <w:color w:val="808080"/>
          <w:rtl w:val="0"/>
        </w:rPr>
        <w:t xml:space="preserve">*Codare temporară, aceasta va fi actualizată conform specificațiilor de raportare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Sarea lui Buzău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☑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☐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☐ Zonă potențială care să devină arie naturală protejată</w:t>
      </w:r>
    </w:p>
    <w:tbl>
      <w:tblPr>
        <w:tblStyle w:val="Table1"/>
        <w:tblW w:w="8980.0" w:type="dxa"/>
        <w:jc w:val="left"/>
        <w:tblInd w:w="10.0" w:type="dxa"/>
        <w:tblLayout w:type="fixed"/>
        <w:tblLook w:val="0400"/>
      </w:tblPr>
      <w:tblGrid>
        <w:gridCol w:w="4490"/>
        <w:gridCol w:w="4490"/>
        <w:tblGridChange w:id="0">
          <w:tblGrid>
            <w:gridCol w:w="4490"/>
            <w:gridCol w:w="44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jc w:val="both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Ministerul Mediului, Apelor și Pădurilor Adresa: Bd. Libertății 12, Sector 5, București, RomâniaProiectul ”Identificarea zonelor potențiale de non intervenție/ protecție strictă în habitate naturale terestre și marine în vederea punerii în aplicare a Strategiei europene privind biodiversitatea pentru perioada 2021-2030”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8980.0" w:type="dxa"/>
        <w:jc w:val="left"/>
        <w:tblInd w:w="10.0" w:type="dxa"/>
        <w:tblLayout w:type="fixed"/>
        <w:tblLook w:val="0400"/>
      </w:tblPr>
      <w:tblGrid>
        <w:gridCol w:w="4455"/>
        <w:gridCol w:w="4525"/>
        <w:tblGridChange w:id="0">
          <w:tblGrid>
            <w:gridCol w:w="4455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1,76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67,95%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Ind w:w="10.0" w:type="dxa"/>
        <w:tblLayout w:type="fixed"/>
        <w:tblLook w:val="0400"/>
      </w:tblPr>
      <w:tblGrid>
        <w:gridCol w:w="3157"/>
        <w:gridCol w:w="444"/>
        <w:gridCol w:w="5379"/>
        <w:tblGridChange w:id="0">
          <w:tblGrid>
            <w:gridCol w:w="3157"/>
            <w:gridCol w:w="444"/>
            <w:gridCol w:w="537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Sud-Est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Buzău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8980.000000000002" w:type="dxa"/>
        <w:jc w:val="left"/>
        <w:tblInd w:w="10.0" w:type="dxa"/>
        <w:tblLayout w:type="fixed"/>
        <w:tblLook w:val="0400"/>
      </w:tblPr>
      <w:tblGrid>
        <w:gridCol w:w="2928"/>
        <w:gridCol w:w="47"/>
        <w:gridCol w:w="3002"/>
        <w:gridCol w:w="47"/>
        <w:gridCol w:w="2956"/>
        <w:tblGridChange w:id="0">
          <w:tblGrid>
            <w:gridCol w:w="2928"/>
            <w:gridCol w:w="47"/>
            <w:gridCol w:w="3002"/>
            <w:gridCol w:w="47"/>
            <w:gridCol w:w="295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Alpină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Continentală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1,76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Legea nr. 5/2000 (*actualizată) privind aprobarea Planului de amenajare a teritoriului național - Secțiunea a III-a - zone protejate, cu modificările și completările ulterioare – monument al naturii RONPA0280 Sarea lui Buzău. </w:t>
      </w:r>
    </w:p>
    <w:p w:rsidR="00000000" w:rsidDel="00000000" w:rsidP="00000000" w:rsidRDefault="00000000" w:rsidRPr="00000000" w14:paraId="0000006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a Guvernului nr. 57/2007 privind regimul ariilor naturale protejate, conservarea habitatelor naturale, a florei şi faunei sălbatice, aprobată cu modificări și completări prin Legea nr. 49/2011, cu modificările si completările ulterioare</w:t>
      </w:r>
    </w:p>
    <w:p w:rsidR="00000000" w:rsidDel="00000000" w:rsidP="00000000" w:rsidRDefault="00000000" w:rsidRPr="00000000" w14:paraId="0000006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8964.0" w:type="dxa"/>
        <w:jc w:val="left"/>
        <w:tblInd w:w="10.0" w:type="dxa"/>
        <w:tblLayout w:type="fixed"/>
        <w:tblLook w:val="0400"/>
      </w:tblPr>
      <w:tblGrid>
        <w:gridCol w:w="4490"/>
        <w:gridCol w:w="4474"/>
        <w:tblGridChange w:id="0">
          <w:tblGrid>
            <w:gridCol w:w="4490"/>
            <w:gridCol w:w="447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5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91Y0 Păduri dacice de stejar şi carpen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7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Reptile:</w:t>
            </w:r>
          </w:p>
          <w:p w:rsidR="00000000" w:rsidDel="00000000" w:rsidP="00000000" w:rsidRDefault="00000000" w:rsidRPr="00000000" w14:paraId="00000078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6091 Zamenis longissimus</w:t>
            </w:r>
          </w:p>
          <w:p w:rsidR="00000000" w:rsidDel="00000000" w:rsidP="00000000" w:rsidRDefault="00000000" w:rsidRPr="00000000" w14:paraId="00000079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Chiroptere:</w:t>
            </w:r>
          </w:p>
          <w:p w:rsidR="00000000" w:rsidDel="00000000" w:rsidP="00000000" w:rsidRDefault="00000000" w:rsidRPr="00000000" w14:paraId="0000007A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1327 Eptesicus serotinus</w:t>
            </w:r>
          </w:p>
          <w:p w:rsidR="00000000" w:rsidDel="00000000" w:rsidP="00000000" w:rsidRDefault="00000000" w:rsidRPr="00000000" w14:paraId="0000007B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1314 Myotis daubentonii</w:t>
            </w:r>
          </w:p>
          <w:p w:rsidR="00000000" w:rsidDel="00000000" w:rsidP="00000000" w:rsidRDefault="00000000" w:rsidRPr="00000000" w14:paraId="0000007C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1312 Nyctalus noctula</w:t>
            </w:r>
          </w:p>
          <w:p w:rsidR="00000000" w:rsidDel="00000000" w:rsidP="00000000" w:rsidRDefault="00000000" w:rsidRPr="00000000" w14:paraId="0000007D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2016 Pipistrellus kuhlii</w:t>
            </w:r>
          </w:p>
          <w:p w:rsidR="00000000" w:rsidDel="00000000" w:rsidP="00000000" w:rsidRDefault="00000000" w:rsidRPr="00000000" w14:paraId="0000007E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1317 Pipistrellus nathusii</w:t>
            </w:r>
          </w:p>
          <w:p w:rsidR="00000000" w:rsidDel="00000000" w:rsidP="00000000" w:rsidRDefault="00000000" w:rsidRPr="00000000" w14:paraId="0000007F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1309 Pipistrellus pipistrellus</w:t>
            </w:r>
          </w:p>
          <w:p w:rsidR="00000000" w:rsidDel="00000000" w:rsidP="00000000" w:rsidRDefault="00000000" w:rsidRPr="00000000" w14:paraId="00000080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5009 Pipistrellus pygmaeus</w:t>
            </w:r>
          </w:p>
          <w:p w:rsidR="00000000" w:rsidDel="00000000" w:rsidP="00000000" w:rsidRDefault="00000000" w:rsidRPr="00000000" w14:paraId="00000081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1332 Vespertilio murinus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3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monumente ale naturii, precum și pe valoarea conservativă ridicată a ecosistemelor forestiere prezente.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 este cazul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9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</w:t>
            </w:r>
          </w:p>
          <w:p w:rsidR="00000000" w:rsidDel="00000000" w:rsidP="00000000" w:rsidRDefault="00000000" w:rsidRPr="00000000" w14:paraId="0000008A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intervenție pentru habitatele forestiere T1</w:t>
            </w:r>
          </w:p>
          <w:p w:rsidR="00000000" w:rsidDel="00000000" w:rsidP="00000000" w:rsidRDefault="00000000" w:rsidRPr="00000000" w14:paraId="0000008B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8C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</w:t>
            </w:r>
          </w:p>
          <w:p w:rsidR="00000000" w:rsidDel="00000000" w:rsidP="00000000" w:rsidRDefault="00000000" w:rsidRPr="00000000" w14:paraId="0000008D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pădurii prin lăsarea proceselor naturale să evolueze liber și limitarea strictă a presiunilor</w:t>
            </w:r>
          </w:p>
          <w:p w:rsidR="00000000" w:rsidDel="00000000" w:rsidP="00000000" w:rsidRDefault="00000000" w:rsidRPr="00000000" w14:paraId="0000008E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antropice.</w:t>
            </w:r>
          </w:p>
          <w:p w:rsidR="00000000" w:rsidDel="00000000" w:rsidP="00000000" w:rsidRDefault="00000000" w:rsidRPr="00000000" w14:paraId="0000008F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</w:p>
          <w:p w:rsidR="00000000" w:rsidDel="00000000" w:rsidP="00000000" w:rsidRDefault="00000000" w:rsidRPr="00000000" w14:paraId="00000090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Menținerea pe termen lung a integrității structurale și funcționale a ecosistemelor forestiere cu naturalitate ridicată, prin lăsarea proceselor naturale să evolueze liber și prin limitarea strictă a presiunilor antropice.</w:t>
            </w:r>
          </w:p>
          <w:p w:rsidR="00000000" w:rsidDel="00000000" w:rsidP="00000000" w:rsidRDefault="00000000" w:rsidRPr="00000000" w14:paraId="00000091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 habitat, lemn mort, microhabitate).</w:t>
            </w:r>
          </w:p>
          <w:p w:rsidR="00000000" w:rsidDel="00000000" w:rsidP="00000000" w:rsidRDefault="00000000" w:rsidRPr="00000000" w14:paraId="00000092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</w:t>
            </w:r>
          </w:p>
          <w:p w:rsidR="00000000" w:rsidDel="00000000" w:rsidP="00000000" w:rsidRDefault="00000000" w:rsidRPr="00000000" w14:paraId="00000093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umane.</w:t>
            </w:r>
          </w:p>
          <w:p w:rsidR="00000000" w:rsidDel="00000000" w:rsidP="00000000" w:rsidRDefault="00000000" w:rsidRPr="00000000" w14:paraId="00000094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</w:t>
            </w:r>
          </w:p>
          <w:p w:rsidR="00000000" w:rsidDel="00000000" w:rsidP="00000000" w:rsidRDefault="00000000" w:rsidRPr="00000000" w14:paraId="00000095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și recoltări neautorizate.</w:t>
            </w:r>
          </w:p>
          <w:p w:rsidR="00000000" w:rsidDel="00000000" w:rsidP="00000000" w:rsidRDefault="00000000" w:rsidRPr="00000000" w14:paraId="00000096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97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</w:p>
          <w:p w:rsidR="00000000" w:rsidDel="00000000" w:rsidP="00000000" w:rsidRDefault="00000000" w:rsidRPr="00000000" w14:paraId="00000098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</w:t>
            </w:r>
          </w:p>
          <w:p w:rsidR="00000000" w:rsidDel="00000000" w:rsidP="00000000" w:rsidRDefault="00000000" w:rsidRPr="00000000" w14:paraId="00000099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A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 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B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C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D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259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Chirita C., Vlad I., Paunescu C., Patrascoiu  N., Rosu  C., Iancu I. 1977  “Statiuni forestiere”, Vol. II, Ed. Academiei R.S.R., Bucuresti, </w:t>
      </w:r>
    </w:p>
    <w:p w:rsidR="00000000" w:rsidDel="00000000" w:rsidP="00000000" w:rsidRDefault="00000000" w:rsidRPr="00000000" w14:paraId="000000A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259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Doniţă, N., Ceianu, I., Purcelean, Ş., &amp; Beldie, A. (1977). Ecologie forestieră:(cu elemente de ecologie generală). Ceres.</w:t>
      </w:r>
    </w:p>
    <w:p w:rsidR="00000000" w:rsidDel="00000000" w:rsidP="00000000" w:rsidRDefault="00000000" w:rsidRPr="00000000" w14:paraId="000000A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259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N. Donita, A. Popescu, Pauca - Comanescu M., Mihailescu S., 2005 - Habitatele din Romania” – Biris I., Editura Tehnica Silvica, Bucuresti, </w:t>
      </w:r>
    </w:p>
    <w:p w:rsidR="00000000" w:rsidDel="00000000" w:rsidP="00000000" w:rsidRDefault="00000000" w:rsidRPr="00000000" w14:paraId="000000A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259" w:lineRule="auto"/>
        <w:jc w:val="both"/>
        <w:rPr/>
      </w:pPr>
      <w:r w:rsidDel="00000000" w:rsidR="00000000" w:rsidRPr="00000000">
        <w:rPr>
          <w:sz w:val="22"/>
          <w:szCs w:val="22"/>
          <w:rtl w:val="0"/>
        </w:rPr>
        <w:t xml:space="preserve">- Gafta D. &amp; Mountford J.O. 2008 - “Manual de interpretare a habitatelor Natura 2000 din Romania”, Ed. RISOPRINT, editor M.M.D.D.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259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Consultări publice realizate: 11 octombrie 2024 – Buzău, 17 octombrie 2024 – DS Buzău, 21 mai 2025 – Buzău</w:t>
      </w:r>
    </w:p>
    <w:p w:rsidR="00000000" w:rsidDel="00000000" w:rsidP="00000000" w:rsidRDefault="00000000" w:rsidRPr="00000000" w14:paraId="000000A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76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Ulterior, în cadrul procesului de consultare extins la nivel național, au avut loc consultări suplimentare online, în data de 19 decembrie 2025, cu participarea factorilor interesați relevanți din județul Buzău..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line="256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rFonts w:ascii="Aptos" w:cs="Aptos" w:eastAsia="Aptos" w:hAnsi="Aptos"/>
            <w:color w:val="467886"/>
            <w:sz w:val="24"/>
            <w:szCs w:val="24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pto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iDuJjw3vxN8r6kwBran1QxxYCw==">CgMxLjAyDmguN21laXEzb2Jjc3k2OAByITFzQmxyeVkwby1UNHE3QnhtU1ZUdmh0a184aXQ2dmtpRA==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